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1D7B" w:rsidRDefault="00DC2073">
      <w:pPr>
        <w:spacing w:afterLines="50" w:after="156"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</w:t>
      </w:r>
      <w:r>
        <w:rPr>
          <w:rFonts w:hint="eastAsia"/>
          <w:b/>
          <w:sz w:val="30"/>
          <w:szCs w:val="30"/>
        </w:rPr>
        <w:t>2-4</w:t>
      </w:r>
      <w:r>
        <w:rPr>
          <w:rFonts w:hint="eastAsia"/>
          <w:b/>
          <w:sz w:val="30"/>
          <w:szCs w:val="30"/>
        </w:rPr>
        <w:t>：朝阳区干部教师研训课程开发标准</w:t>
      </w:r>
    </w:p>
    <w:tbl>
      <w:tblPr>
        <w:tblW w:w="9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9"/>
        <w:gridCol w:w="6094"/>
        <w:gridCol w:w="651"/>
        <w:gridCol w:w="651"/>
        <w:gridCol w:w="521"/>
        <w:gridCol w:w="651"/>
      </w:tblGrid>
      <w:tr w:rsidR="00D51D7B">
        <w:trPr>
          <w:trHeight w:val="625"/>
        </w:trPr>
        <w:tc>
          <w:tcPr>
            <w:tcW w:w="1299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评价要素</w:t>
            </w: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评价标准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赋分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非常符合</w:t>
            </w:r>
          </w:p>
        </w:tc>
        <w:tc>
          <w:tcPr>
            <w:tcW w:w="521" w:type="dxa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一般</w:t>
            </w:r>
          </w:p>
        </w:tc>
        <w:tc>
          <w:tcPr>
            <w:tcW w:w="651" w:type="dxa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不符合</w:t>
            </w:r>
          </w:p>
        </w:tc>
      </w:tr>
      <w:tr w:rsidR="00D51D7B">
        <w:trPr>
          <w:trHeight w:val="351"/>
        </w:trPr>
        <w:tc>
          <w:tcPr>
            <w:tcW w:w="1299" w:type="dxa"/>
            <w:vMerge w:val="restart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课程定位</w:t>
            </w:r>
          </w:p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>
              <w:rPr>
                <w:rFonts w:ascii="宋体" w:hAnsi="宋体" w:hint="eastAsia"/>
                <w:color w:val="000000"/>
                <w:sz w:val="24"/>
              </w:rPr>
              <w:t>20</w:t>
            </w:r>
            <w:r>
              <w:rPr>
                <w:rFonts w:ascii="宋体" w:hAnsi="宋体" w:hint="eastAsia"/>
                <w:color w:val="000000"/>
                <w:sz w:val="24"/>
              </w:rPr>
              <w:t>分）</w:t>
            </w: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课程名称具体清晰，能体现课程的核心内容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51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课程符合组织、岗位要求和教师专业成长需求，紧密结合课程改革需求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8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51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研训对象和类型明确，对学员特点有分析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51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有实践经验和相关研究支撑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51"/>
        </w:trPr>
        <w:tc>
          <w:tcPr>
            <w:tcW w:w="1299" w:type="dxa"/>
            <w:vMerge w:val="restart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课程目标</w:t>
            </w:r>
          </w:p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>
              <w:rPr>
                <w:rFonts w:ascii="宋体" w:hAnsi="宋体" w:hint="eastAsia"/>
                <w:color w:val="000000"/>
                <w:sz w:val="24"/>
              </w:rPr>
              <w:t>10</w:t>
            </w:r>
            <w:r>
              <w:rPr>
                <w:rFonts w:ascii="宋体" w:hAnsi="宋体" w:hint="eastAsia"/>
                <w:color w:val="000000"/>
                <w:sz w:val="24"/>
              </w:rPr>
              <w:t>分）</w:t>
            </w: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课程目标全面，体现学习水平层次，立意站位较高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712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课程目标表述具体，具有可操作性和可检测性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12"/>
        </w:trPr>
        <w:tc>
          <w:tcPr>
            <w:tcW w:w="1299" w:type="dxa"/>
            <w:vMerge w:val="restart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课程内容</w:t>
            </w:r>
          </w:p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>
              <w:rPr>
                <w:rFonts w:ascii="宋体" w:hAnsi="宋体" w:hint="eastAsia"/>
                <w:color w:val="000000"/>
                <w:sz w:val="24"/>
              </w:rPr>
              <w:t>30</w:t>
            </w:r>
            <w:r>
              <w:rPr>
                <w:rFonts w:ascii="宋体" w:hAnsi="宋体" w:hint="eastAsia"/>
                <w:color w:val="000000"/>
                <w:sz w:val="24"/>
              </w:rPr>
              <w:t>分）</w:t>
            </w: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课程内容结构清晰，逻辑性强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10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506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课程内容理论联系实践，与教师的已有经验和急新难问题紧密相关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10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506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课程实践部分有案例、活动、方法、工具等资源支撑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10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12"/>
        </w:trPr>
        <w:tc>
          <w:tcPr>
            <w:tcW w:w="1299" w:type="dxa"/>
            <w:vMerge w:val="restart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课程策略</w:t>
            </w:r>
          </w:p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>
              <w:rPr>
                <w:rFonts w:ascii="宋体" w:hAnsi="宋体" w:hint="eastAsia"/>
                <w:color w:val="000000"/>
                <w:sz w:val="24"/>
              </w:rPr>
              <w:t>30</w:t>
            </w:r>
            <w:r>
              <w:rPr>
                <w:rFonts w:ascii="宋体" w:hAnsi="宋体" w:hint="eastAsia"/>
                <w:color w:val="000000"/>
                <w:sz w:val="24"/>
              </w:rPr>
              <w:t>分）</w:t>
            </w: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课程方式与内容匹配，符合成人学习特点，学员即资源，有较强的参与性、互动性、实践性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312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课程活动聚焦问题解决策略、学习思维方法或价值引领，促进学员联系本岗工作引发新的思考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652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能结合教师岗位实践，采取灵活多元的评价方式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690"/>
        </w:trPr>
        <w:tc>
          <w:tcPr>
            <w:tcW w:w="1299" w:type="dxa"/>
            <w:vMerge w:val="restart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课程创新</w:t>
            </w:r>
          </w:p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>
              <w:rPr>
                <w:rFonts w:ascii="宋体" w:hAnsi="宋体" w:hint="eastAsia"/>
                <w:color w:val="000000"/>
                <w:sz w:val="24"/>
              </w:rPr>
              <w:t>10</w:t>
            </w:r>
            <w:r>
              <w:rPr>
                <w:rFonts w:ascii="宋体" w:hAnsi="宋体" w:hint="eastAsia"/>
                <w:color w:val="000000"/>
                <w:sz w:val="24"/>
              </w:rPr>
              <w:t>分）</w:t>
            </w: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在课程师资、内容等方面体现权威、前沿、新颖、特色等特点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51D7B">
        <w:trPr>
          <w:trHeight w:val="700"/>
        </w:trPr>
        <w:tc>
          <w:tcPr>
            <w:tcW w:w="1299" w:type="dxa"/>
            <w:vMerge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094" w:type="dxa"/>
            <w:vAlign w:val="center"/>
          </w:tcPr>
          <w:p w:rsidR="00D51D7B" w:rsidRDefault="00DC2073">
            <w:pPr>
              <w:spacing w:afterLines="50" w:after="156"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以学习者为中心，能够营造共享文化，积极探索“以学习者为中心”的</w:t>
            </w:r>
            <w:r>
              <w:rPr>
                <w:rFonts w:ascii="宋体" w:hAnsi="宋体" w:hint="eastAsia"/>
                <w:color w:val="000000"/>
                <w:sz w:val="24"/>
              </w:rPr>
              <w:t>学研训用研修</w:t>
            </w:r>
            <w:r>
              <w:rPr>
                <w:rFonts w:ascii="宋体" w:hAnsi="宋体" w:hint="eastAsia"/>
                <w:color w:val="000000"/>
                <w:sz w:val="24"/>
              </w:rPr>
              <w:t>模式</w:t>
            </w:r>
          </w:p>
        </w:tc>
        <w:tc>
          <w:tcPr>
            <w:tcW w:w="651" w:type="dxa"/>
            <w:vAlign w:val="center"/>
          </w:tcPr>
          <w:p w:rsidR="00D51D7B" w:rsidRDefault="00DC2073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51" w:type="dxa"/>
            <w:vAlign w:val="center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2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1" w:type="dxa"/>
          </w:tcPr>
          <w:p w:rsidR="00D51D7B" w:rsidRDefault="00D51D7B">
            <w:pPr>
              <w:spacing w:afterLines="50" w:after="156"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D51D7B" w:rsidRDefault="00D51D7B"/>
    <w:sectPr w:rsidR="00D51D7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FA3"/>
    <w:rsid w:val="00001B07"/>
    <w:rsid w:val="00192649"/>
    <w:rsid w:val="003529FB"/>
    <w:rsid w:val="00361B32"/>
    <w:rsid w:val="00443AAF"/>
    <w:rsid w:val="005C1395"/>
    <w:rsid w:val="0065161B"/>
    <w:rsid w:val="006D4FA3"/>
    <w:rsid w:val="00A428AE"/>
    <w:rsid w:val="00B910DF"/>
    <w:rsid w:val="00C07D91"/>
    <w:rsid w:val="00C302B3"/>
    <w:rsid w:val="00D51D7B"/>
    <w:rsid w:val="00D96E4E"/>
    <w:rsid w:val="00DA55BB"/>
    <w:rsid w:val="00DC2073"/>
    <w:rsid w:val="00EE3A58"/>
    <w:rsid w:val="00EE66A6"/>
    <w:rsid w:val="00F31FCA"/>
    <w:rsid w:val="00F74B02"/>
    <w:rsid w:val="090078AE"/>
    <w:rsid w:val="0C7D6EF2"/>
    <w:rsid w:val="27E9149F"/>
    <w:rsid w:val="2F162D17"/>
    <w:rsid w:val="35B875D5"/>
    <w:rsid w:val="363D2785"/>
    <w:rsid w:val="36811AD4"/>
    <w:rsid w:val="39B35B07"/>
    <w:rsid w:val="3CE22899"/>
    <w:rsid w:val="4BC60AE2"/>
    <w:rsid w:val="51DB7E2C"/>
    <w:rsid w:val="5A951713"/>
    <w:rsid w:val="61787281"/>
    <w:rsid w:val="6202663B"/>
    <w:rsid w:val="6EB6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1046"/>
  <w15:docId w15:val="{7D308407-AC01-467B-8C1B-FF721E37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徐慢</dc:creator>
  <cp:lastModifiedBy>刘 志平</cp:lastModifiedBy>
  <cp:revision>7</cp:revision>
  <cp:lastPrinted>2019-04-28T02:32:00Z</cp:lastPrinted>
  <dcterms:created xsi:type="dcterms:W3CDTF">2018-04-28T00:27:00Z</dcterms:created>
  <dcterms:modified xsi:type="dcterms:W3CDTF">2020-04-23T05:37:00Z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